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FFF" w:rsidP="57BF2A20" w:rsidRDefault="00715F90" w14:paraId="7DFF95AF" w14:textId="04796F2D">
      <w:pPr>
        <w:rPr>
          <w:rFonts w:ascii="Arial" w:hAnsi="Arial" w:eastAsia="Times New Roman" w:cs="Arial"/>
          <w:b w:val="1"/>
          <w:bCs w:val="1"/>
          <w:i w:val="1"/>
          <w:iCs w:val="1"/>
          <w:color w:val="70AD47"/>
          <w:sz w:val="40"/>
          <w:szCs w:val="40"/>
          <w:lang w:eastAsia="en-GB"/>
        </w:rPr>
      </w:pPr>
      <w:r w:rsidRPr="57BF2A20" w:rsidR="57BF2A20">
        <w:rPr>
          <w:rFonts w:ascii="Arial" w:hAnsi="Arial" w:eastAsia="Times New Roman" w:cs="Arial"/>
          <w:b w:val="1"/>
          <w:bCs w:val="1"/>
          <w:i w:val="1"/>
          <w:iCs w:val="1"/>
          <w:color w:val="6FAC47"/>
          <w:sz w:val="40"/>
          <w:szCs w:val="40"/>
          <w:lang w:eastAsia="en-GB"/>
        </w:rPr>
        <w:t xml:space="preserve">Friends of Cator Park </w:t>
      </w:r>
      <w:r w:rsidRPr="57BF2A20" w:rsidR="57BF2A20">
        <w:rPr>
          <w:rFonts w:ascii="Arial" w:hAnsi="Arial" w:eastAsia="Times New Roman" w:cs="Arial"/>
          <w:b w:val="1"/>
          <w:bCs w:val="1"/>
          <w:i w:val="1"/>
          <w:iCs w:val="1"/>
          <w:color w:val="6FAC47"/>
          <w:sz w:val="40"/>
          <w:szCs w:val="40"/>
          <w:lang w:eastAsia="en-GB"/>
        </w:rPr>
        <w:t>and Alexandra</w:t>
      </w:r>
      <w:r w:rsidRPr="57BF2A20" w:rsidR="57BF2A20">
        <w:rPr>
          <w:rFonts w:ascii="Arial" w:hAnsi="Arial" w:eastAsia="Times New Roman" w:cs="Arial"/>
          <w:b w:val="1"/>
          <w:bCs w:val="1"/>
          <w:i w:val="1"/>
          <w:iCs w:val="1"/>
          <w:color w:val="6FAC47"/>
          <w:sz w:val="40"/>
          <w:szCs w:val="40"/>
          <w:lang w:eastAsia="en-GB"/>
        </w:rPr>
        <w:t xml:space="preserve"> Recreation Ground Annual Treasurer’s Report </w:t>
      </w:r>
    </w:p>
    <w:p w:rsidRPr="00CA6CB0" w:rsidR="00715F90" w:rsidP="32B1DCB2" w:rsidRDefault="32B1DCB2" w14:paraId="511E5BAD" w14:textId="406EFA5A">
      <w:pPr>
        <w:pStyle w:val="xxmsonormal"/>
        <w:rPr>
          <w:rFonts w:ascii="Arial" w:hAnsi="Arial" w:cs="Arial"/>
          <w:color w:val="000000"/>
        </w:rPr>
      </w:pPr>
      <w:r w:rsidRPr="57BF2A20" w:rsidR="57BF2A20">
        <w:rPr>
          <w:rFonts w:ascii="Arial" w:hAnsi="Arial" w:cs="Arial"/>
          <w:color w:val="000000" w:themeColor="text1" w:themeTint="FF" w:themeShade="FF"/>
        </w:rPr>
        <w:t>Prepared by Deborah Lader, Treasurer</w:t>
      </w:r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.  24th October 2022</w:t>
      </w:r>
    </w:p>
    <w:p w:rsidRPr="00464D3C" w:rsidR="00464D3C" w:rsidP="00715F90" w:rsidRDefault="32B1DCB2" w14:paraId="14AFD47E" w14:textId="1B26DBC9">
      <w:pPr>
        <w:pStyle w:val="xxmsonormal"/>
        <w:rPr>
          <w:rFonts w:ascii="Arial" w:hAnsi="Arial" w:cs="Arial"/>
          <w:color w:val="000000"/>
        </w:rPr>
      </w:pPr>
      <w:r w:rsidRPr="57BF2A20" w:rsidR="57BF2A20">
        <w:rPr>
          <w:rFonts w:ascii="Calibri Light" w:hAnsi="Calibri Light" w:cs="" w:asciiTheme="majorAscii" w:hAnsiTheme="majorAscii" w:cstheme="majorBidi"/>
          <w:b w:val="1"/>
          <w:bCs w:val="1"/>
          <w:color w:val="4BA524"/>
        </w:rPr>
        <w:t>Presented at the Friends AGM, 17</w:t>
      </w:r>
      <w:r w:rsidRPr="57BF2A20" w:rsidR="57BF2A20">
        <w:rPr>
          <w:rFonts w:ascii="Calibri Light" w:hAnsi="Calibri Light" w:cs="" w:asciiTheme="majorAscii" w:hAnsiTheme="majorAscii" w:cstheme="majorBidi"/>
          <w:b w:val="1"/>
          <w:bCs w:val="1"/>
          <w:color w:val="4BA524"/>
          <w:vertAlign w:val="superscript"/>
        </w:rPr>
        <w:t>th</w:t>
      </w:r>
      <w:r w:rsidRPr="57BF2A20" w:rsidR="57BF2A20">
        <w:rPr>
          <w:rFonts w:ascii="Calibri Light" w:hAnsi="Calibri Light" w:cs="" w:asciiTheme="majorAscii" w:hAnsiTheme="majorAscii" w:cstheme="majorBidi"/>
          <w:b w:val="1"/>
          <w:bCs w:val="1"/>
          <w:color w:val="4BA524"/>
        </w:rPr>
        <w:t xml:space="preserve"> November 2022</w:t>
      </w:r>
    </w:p>
    <w:p w:rsidR="1B07F9DE" w:rsidP="1B07F9DE" w:rsidRDefault="1B07F9DE" w14:paraId="181DB482" w14:textId="027F02C9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</w:pPr>
    </w:p>
    <w:p w:rsidR="00386EC8" w:rsidP="57BF2A20" w:rsidRDefault="32B1DCB2" w14:paraId="387794AE" w14:textId="5A18B8F2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/>
        </w:rPr>
      </w:pPr>
      <w:r w:rsidRPr="57BF2A20" w:rsidR="57BF2A2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Period: 1 October 2021 to 30 September 2022</w:t>
      </w:r>
    </w:p>
    <w:p w:rsidRPr="00CA6CB0" w:rsidR="006C5D9C" w:rsidP="32B1DCB2" w:rsidRDefault="32B1DCB2" w14:paraId="5E8FA5CF" w14:textId="7A463503">
      <w:pPr>
        <w:rPr>
          <w:b w:val="1"/>
          <w:bCs w:val="1"/>
        </w:rPr>
      </w:pPr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  <w:sz w:val="24"/>
          <w:szCs w:val="24"/>
        </w:rPr>
        <w:t xml:space="preserve">Opening balance: 1 </w:t>
      </w:r>
      <w:r w:rsidR="57BF2A20">
        <w:rPr/>
        <w:t>October 2021</w:t>
      </w:r>
      <w:r>
        <w:tab/>
      </w:r>
      <w:r>
        <w:tab/>
      </w:r>
      <w:r w:rsidRPr="57BF2A20" w:rsidR="57BF2A20">
        <w:rPr>
          <w:b w:val="1"/>
          <w:bCs w:val="1"/>
        </w:rPr>
        <w:t xml:space="preserve">£7,438.85 </w:t>
      </w:r>
    </w:p>
    <w:p w:rsidR="4127BF8B" w:rsidP="32B1DCB2" w:rsidRDefault="32B1DCB2" w14:paraId="2B2964D4" w14:textId="7C386F44">
      <w:pPr>
        <w:pStyle w:val="xxmsonormal"/>
        <w:rPr>
          <w:rFonts w:asciiTheme="majorHAnsi" w:hAnsiTheme="majorHAnsi" w:cstheme="majorBidi"/>
          <w:color w:val="000000" w:themeColor="text1"/>
        </w:rPr>
      </w:pPr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Breakdown of the income/ expenditure &amp; balance achieved by each activity / event throughout the year:</w:t>
      </w:r>
    </w:p>
    <w:p w:rsidR="57BF2A20" w:rsidRDefault="57BF2A20" w14:paraId="52C23422" w14:textId="6F76258F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55"/>
        <w:gridCol w:w="1755"/>
        <w:gridCol w:w="1425"/>
        <w:gridCol w:w="1440"/>
      </w:tblGrid>
      <w:tr w:rsidR="57BF2A20" w:rsidTr="21009518" w14:paraId="6E76CFAF">
        <w:tc>
          <w:tcPr>
            <w:tcW w:w="2655" w:type="dxa"/>
            <w:tcMar/>
            <w:vAlign w:val="center"/>
          </w:tcPr>
          <w:p w:rsidR="57BF2A20" w:rsidRDefault="57BF2A20" w14:paraId="5617DBDD" w14:textId="157619CA"/>
        </w:tc>
        <w:tc>
          <w:tcPr>
            <w:tcW w:w="1755" w:type="dxa"/>
            <w:tcMar/>
            <w:vAlign w:val="center"/>
          </w:tcPr>
          <w:p w:rsidR="57BF2A20" w:rsidRDefault="57BF2A20" w14:paraId="7D58A0FF" w14:textId="52781813">
            <w:r w:rsidR="57BF2A20">
              <w:rPr/>
              <w:t>Income</w:t>
            </w:r>
          </w:p>
        </w:tc>
        <w:tc>
          <w:tcPr>
            <w:tcW w:w="1425" w:type="dxa"/>
            <w:tcMar/>
            <w:vAlign w:val="center"/>
          </w:tcPr>
          <w:p w:rsidR="57BF2A20" w:rsidRDefault="57BF2A20" w14:paraId="2828AB95" w14:textId="7A08044D">
            <w:r w:rsidR="57BF2A20">
              <w:rPr/>
              <w:t>Expenses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71BA57A1" w14:textId="6C7EB06E">
            <w:r w:rsidR="57BF2A20">
              <w:rPr/>
              <w:t>Profit</w:t>
            </w:r>
          </w:p>
        </w:tc>
      </w:tr>
      <w:tr w:rsidR="57BF2A20" w:rsidTr="21009518" w14:paraId="6975C2D5">
        <w:tc>
          <w:tcPr>
            <w:tcW w:w="2655" w:type="dxa"/>
            <w:tcMar/>
            <w:vAlign w:val="center"/>
          </w:tcPr>
          <w:p w:rsidR="57BF2A20" w:rsidP="57BF2A20" w:rsidRDefault="57BF2A20" w14:paraId="7C90AE6B" w14:textId="0C97E4D8">
            <w:pPr>
              <w:rPr>
                <w:b w:val="1"/>
                <w:bCs w:val="1"/>
              </w:rPr>
            </w:pPr>
            <w:r w:rsidRPr="57BF2A20" w:rsidR="57BF2A20">
              <w:rPr>
                <w:b w:val="1"/>
                <w:bCs w:val="1"/>
              </w:rPr>
              <w:t>Events</w:t>
            </w:r>
          </w:p>
        </w:tc>
        <w:tc>
          <w:tcPr>
            <w:tcW w:w="1755" w:type="dxa"/>
            <w:tcMar/>
            <w:vAlign w:val="center"/>
          </w:tcPr>
          <w:p w:rsidR="57BF2A20" w:rsidRDefault="57BF2A20" w14:paraId="04AD567F" w14:textId="08FE308C"/>
        </w:tc>
        <w:tc>
          <w:tcPr>
            <w:tcW w:w="1425" w:type="dxa"/>
            <w:tcMar/>
            <w:vAlign w:val="center"/>
          </w:tcPr>
          <w:p w:rsidR="57BF2A20" w:rsidRDefault="57BF2A20" w14:paraId="0CD37002" w14:textId="79DE87E4"/>
        </w:tc>
        <w:tc>
          <w:tcPr>
            <w:tcW w:w="1440" w:type="dxa"/>
            <w:tcMar/>
            <w:vAlign w:val="center"/>
          </w:tcPr>
          <w:p w:rsidR="57BF2A20" w:rsidRDefault="57BF2A20" w14:paraId="1A1302D1" w14:textId="0870084B"/>
        </w:tc>
      </w:tr>
      <w:tr w:rsidR="57BF2A20" w:rsidTr="21009518" w14:paraId="3606F31F">
        <w:tc>
          <w:tcPr>
            <w:tcW w:w="2655" w:type="dxa"/>
            <w:tcMar/>
            <w:vAlign w:val="center"/>
          </w:tcPr>
          <w:p w:rsidR="57BF2A20" w:rsidRDefault="57BF2A20" w14:paraId="427764D3" w14:textId="3A899A90">
            <w:r w:rsidR="57BF2A20">
              <w:rPr/>
              <w:t>October Bat walk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27315F1B" w14:textId="0E20A89A">
            <w:pPr>
              <w:jc w:val="right"/>
            </w:pPr>
            <w:r w:rsidR="57BF2A20">
              <w:rPr/>
              <w:t>36.28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239F0540" w14:textId="1C491E04">
            <w:pPr>
              <w:jc w:val="right"/>
            </w:pPr>
            <w:r w:rsidR="57BF2A20">
              <w:rPr/>
              <w:t>0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76768BD9" w14:textId="7EF31360">
            <w:pPr>
              <w:jc w:val="right"/>
            </w:pPr>
            <w:r w:rsidR="57BF2A20">
              <w:rPr/>
              <w:t>36.28</w:t>
            </w:r>
          </w:p>
        </w:tc>
      </w:tr>
      <w:tr w:rsidR="57BF2A20" w:rsidTr="21009518" w14:paraId="72A2C2A3">
        <w:tc>
          <w:tcPr>
            <w:tcW w:w="2655" w:type="dxa"/>
            <w:tcMar/>
            <w:vAlign w:val="center"/>
          </w:tcPr>
          <w:p w:rsidR="57BF2A20" w:rsidRDefault="57BF2A20" w14:paraId="658E3C2B" w14:textId="42AA480F">
            <w:r w:rsidR="57BF2A20">
              <w:rPr/>
              <w:t>Summer bat walk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633BD106" w14:textId="0DF9B3B1">
            <w:pPr>
              <w:jc w:val="right"/>
            </w:pPr>
            <w:r w:rsidR="57BF2A20">
              <w:rPr/>
              <w:t>0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18CF99D" w14:textId="5A25F959">
            <w:pPr>
              <w:jc w:val="right"/>
            </w:pPr>
            <w:r w:rsidR="57BF2A20">
              <w:rPr/>
              <w:t>10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2966A664" w14:textId="51DA4951">
            <w:pPr>
              <w:jc w:val="right"/>
            </w:pPr>
            <w:r w:rsidR="57BF2A20">
              <w:rPr/>
              <w:t>-10</w:t>
            </w:r>
          </w:p>
        </w:tc>
      </w:tr>
      <w:tr w:rsidR="57BF2A20" w:rsidTr="21009518" w14:paraId="0579D832">
        <w:tc>
          <w:tcPr>
            <w:tcW w:w="2655" w:type="dxa"/>
            <w:tcMar/>
            <w:vAlign w:val="center"/>
          </w:tcPr>
          <w:p w:rsidR="57BF2A20" w:rsidRDefault="57BF2A20" w14:paraId="06667FA6" w14:textId="08FDA84B">
            <w:r w:rsidR="57BF2A20">
              <w:rPr/>
              <w:t>Wine quiz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199E186F" w14:textId="67281A1B">
            <w:pPr>
              <w:jc w:val="right"/>
            </w:pPr>
            <w:r w:rsidR="57BF2A20">
              <w:rPr/>
              <w:t>827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E0DC532" w14:textId="79796095">
            <w:pPr>
              <w:jc w:val="right"/>
            </w:pPr>
            <w:r w:rsidR="57BF2A20">
              <w:rPr/>
              <w:t>414.32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575728B3" w14:textId="3C40EB0A">
            <w:pPr>
              <w:jc w:val="right"/>
            </w:pPr>
            <w:r w:rsidR="57BF2A20">
              <w:rPr/>
              <w:t>412.68</w:t>
            </w:r>
          </w:p>
        </w:tc>
      </w:tr>
      <w:tr w:rsidR="57BF2A20" w:rsidTr="21009518" w14:paraId="3D3B35FD">
        <w:tc>
          <w:tcPr>
            <w:tcW w:w="2655" w:type="dxa"/>
            <w:tcMar/>
            <w:vAlign w:val="center"/>
          </w:tcPr>
          <w:p w:rsidR="57BF2A20" w:rsidRDefault="57BF2A20" w14:paraId="4CE6E6D7" w14:textId="7F341F3C">
            <w:r w:rsidR="57BF2A20">
              <w:rPr/>
              <w:t>Carols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031F56E9" w14:textId="3D40DFBE">
            <w:pPr>
              <w:jc w:val="right"/>
            </w:pPr>
            <w:r w:rsidR="57BF2A20">
              <w:rPr/>
              <w:t>623.64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6410003F" w14:textId="6F67D0F4">
            <w:pPr>
              <w:jc w:val="right"/>
            </w:pPr>
            <w:r w:rsidR="57BF2A20">
              <w:rPr/>
              <w:t>317.97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2E3CAD32" w14:textId="75EC6F94">
            <w:pPr>
              <w:jc w:val="right"/>
            </w:pPr>
            <w:r w:rsidR="57BF2A20">
              <w:rPr/>
              <w:t>305.67</w:t>
            </w:r>
          </w:p>
        </w:tc>
      </w:tr>
      <w:tr w:rsidR="57BF2A20" w:rsidTr="21009518" w14:paraId="18969D04">
        <w:tc>
          <w:tcPr>
            <w:tcW w:w="2655" w:type="dxa"/>
            <w:tcMar/>
            <w:vAlign w:val="center"/>
          </w:tcPr>
          <w:p w:rsidR="57BF2A20" w:rsidRDefault="57BF2A20" w14:paraId="0DA6A460" w14:textId="50D414F0">
            <w:r w:rsidR="57BF2A20">
              <w:rPr/>
              <w:t>Spring walk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2CDD1FD6" w14:textId="597832F5">
            <w:pPr>
              <w:jc w:val="right"/>
            </w:pPr>
            <w:r w:rsidR="57BF2A20">
              <w:rPr/>
              <w:t>10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F2B4ADA" w14:textId="16E1D763">
            <w:pPr>
              <w:jc w:val="right"/>
            </w:pPr>
            <w:r w:rsidR="57BF2A20">
              <w:rPr/>
              <w:t>0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28A17CBD" w14:textId="4E714A98">
            <w:pPr>
              <w:jc w:val="right"/>
            </w:pPr>
            <w:r w:rsidR="57BF2A20">
              <w:rPr/>
              <w:t>10</w:t>
            </w:r>
          </w:p>
        </w:tc>
      </w:tr>
      <w:tr w:rsidR="57BF2A20" w:rsidTr="21009518" w14:paraId="5AA3B6E2">
        <w:tc>
          <w:tcPr>
            <w:tcW w:w="2655" w:type="dxa"/>
            <w:tcMar/>
            <w:vAlign w:val="center"/>
          </w:tcPr>
          <w:p w:rsidR="57BF2A20" w:rsidRDefault="57BF2A20" w14:paraId="46D28E30" w14:textId="0395640D">
            <w:r w:rsidR="57BF2A20">
              <w:rPr/>
              <w:t>Easter trail/fete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908AA44" w14:textId="414DF8EB">
            <w:pPr>
              <w:jc w:val="right"/>
            </w:pPr>
            <w:r w:rsidR="57BF2A20">
              <w:rPr/>
              <w:t>480.5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2A80FA41" w14:textId="0D1377FD">
            <w:pPr>
              <w:jc w:val="right"/>
            </w:pPr>
            <w:r w:rsidR="57BF2A20">
              <w:rPr/>
              <w:t>238.93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5095F20F" w14:textId="4CB2E060">
            <w:pPr>
              <w:jc w:val="right"/>
            </w:pPr>
            <w:r w:rsidR="57BF2A20">
              <w:rPr/>
              <w:t>241.57</w:t>
            </w:r>
          </w:p>
        </w:tc>
      </w:tr>
      <w:tr w:rsidR="57BF2A20" w:rsidTr="21009518" w14:paraId="652B4F0B">
        <w:tc>
          <w:tcPr>
            <w:tcW w:w="2655" w:type="dxa"/>
            <w:tcMar/>
            <w:vAlign w:val="center"/>
          </w:tcPr>
          <w:p w:rsidR="57BF2A20" w:rsidRDefault="57BF2A20" w14:paraId="2E95A9BB" w14:textId="07CA66E5">
            <w:r w:rsidR="57BF2A20">
              <w:rPr/>
              <w:t>Pride family picnic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35136259" w14:textId="789B1A96">
            <w:pPr>
              <w:jc w:val="right"/>
            </w:pPr>
            <w:r w:rsidR="57BF2A20">
              <w:rPr/>
              <w:t>1550.12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1E14D8D" w14:textId="4783FA5D">
            <w:pPr>
              <w:jc w:val="right"/>
            </w:pPr>
            <w:r w:rsidR="57BF2A20">
              <w:rPr/>
              <w:t>1065.7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2A1DC778" w14:textId="5628A608">
            <w:pPr>
              <w:jc w:val="right"/>
            </w:pPr>
            <w:r w:rsidR="57BF2A20">
              <w:rPr/>
              <w:t>484.42</w:t>
            </w:r>
          </w:p>
        </w:tc>
      </w:tr>
      <w:tr w:rsidR="57BF2A20" w:rsidTr="21009518" w14:paraId="18E03C82">
        <w:tc>
          <w:tcPr>
            <w:tcW w:w="2655" w:type="dxa"/>
            <w:tcMar/>
            <w:vAlign w:val="center"/>
          </w:tcPr>
          <w:p w:rsidR="57BF2A20" w:rsidRDefault="57BF2A20" w14:paraId="74E6F700" w14:textId="27DEC8AB">
            <w:r w:rsidR="57BF2A20">
              <w:rPr/>
              <w:t>Music in park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68E8D76A" w14:textId="7DDEAD1B">
            <w:pPr>
              <w:jc w:val="right"/>
            </w:pPr>
            <w:r w:rsidR="57BF2A20">
              <w:rPr/>
              <w:t>1336.29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EECAC1E" w14:textId="47953185">
            <w:pPr>
              <w:jc w:val="right"/>
            </w:pPr>
            <w:r w:rsidR="57BF2A20">
              <w:rPr/>
              <w:t>357.54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078FDC93" w14:textId="0E393667">
            <w:pPr>
              <w:jc w:val="right"/>
            </w:pPr>
            <w:r w:rsidR="57BF2A20">
              <w:rPr/>
              <w:t>978.75</w:t>
            </w:r>
          </w:p>
        </w:tc>
      </w:tr>
      <w:tr w:rsidR="57BF2A20" w:rsidTr="21009518" w14:paraId="5F116C52">
        <w:tc>
          <w:tcPr>
            <w:tcW w:w="2655" w:type="dxa"/>
            <w:tcMar/>
            <w:vAlign w:val="center"/>
          </w:tcPr>
          <w:p w:rsidR="57BF2A20" w:rsidRDefault="57BF2A20" w14:paraId="5A38FE29" w14:textId="77735C9E">
            <w:r w:rsidR="57BF2A20">
              <w:rPr/>
              <w:t>Paws in park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789ED92A" w14:textId="22401676">
            <w:pPr>
              <w:jc w:val="right"/>
            </w:pPr>
            <w:r w:rsidR="57BF2A20">
              <w:rPr/>
              <w:t>5156.29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403960B" w14:textId="0FF40E48">
            <w:pPr>
              <w:jc w:val="right"/>
            </w:pPr>
            <w:r w:rsidR="7213BD79">
              <w:rPr/>
              <w:t>2914.23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7447344C" w14:textId="2DB5CF03">
            <w:pPr>
              <w:jc w:val="right"/>
            </w:pPr>
            <w:r w:rsidR="7213BD79">
              <w:rPr/>
              <w:t>2242.06</w:t>
            </w:r>
          </w:p>
        </w:tc>
      </w:tr>
      <w:tr w:rsidR="57BF2A20" w:rsidTr="21009518" w14:paraId="2DE7004A">
        <w:tc>
          <w:tcPr>
            <w:tcW w:w="2655" w:type="dxa"/>
            <w:tcMar/>
            <w:vAlign w:val="center"/>
          </w:tcPr>
          <w:p w:rsidR="57BF2A20" w:rsidRDefault="57BF2A20" w14:paraId="0134DA03" w14:textId="4D60ED96">
            <w:r w:rsidR="57BF2A20">
              <w:rPr/>
              <w:t>Penge festival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0D8ACFB4" w14:textId="38FEC73E">
            <w:pPr>
              <w:jc w:val="right"/>
            </w:pPr>
            <w:r w:rsidR="57BF2A20">
              <w:rPr/>
              <w:t>158.83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3AE0D2E" w14:textId="01F3D43F">
            <w:pPr>
              <w:jc w:val="right"/>
            </w:pPr>
            <w:r w:rsidR="57BF2A20">
              <w:rPr/>
              <w:t>53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6B19D993" w14:textId="49C921E3">
            <w:pPr>
              <w:jc w:val="right"/>
            </w:pPr>
            <w:r w:rsidR="57BF2A20">
              <w:rPr/>
              <w:t>105.83</w:t>
            </w:r>
          </w:p>
        </w:tc>
      </w:tr>
      <w:tr w:rsidR="57BF2A20" w:rsidTr="21009518" w14:paraId="1BC07A36">
        <w:tc>
          <w:tcPr>
            <w:tcW w:w="2655" w:type="dxa"/>
            <w:tcMar/>
            <w:vAlign w:val="center"/>
          </w:tcPr>
          <w:p w:rsidR="57BF2A20" w:rsidRDefault="57BF2A20" w14:paraId="6A2E2F3A" w14:textId="1A8203B1">
            <w:r w:rsidR="57BF2A20">
              <w:rPr/>
              <w:t>Paws Xmas walk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6BF8CB30" w14:textId="1E25AA19">
            <w:pPr>
              <w:jc w:val="right"/>
            </w:pPr>
            <w:r w:rsidR="57BF2A20">
              <w:rPr/>
              <w:t>20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70D8364" w14:textId="6E05ECB0">
            <w:pPr>
              <w:jc w:val="right"/>
            </w:pPr>
            <w:r w:rsidR="57BF2A20">
              <w:rPr/>
              <w:t>0</w:t>
            </w:r>
          </w:p>
        </w:tc>
        <w:tc>
          <w:tcPr>
            <w:tcW w:w="1440" w:type="dxa"/>
            <w:tcMar/>
            <w:vAlign w:val="center"/>
          </w:tcPr>
          <w:p w:rsidR="57BF2A20" w:rsidP="57BF2A20" w:rsidRDefault="57BF2A20" w14:paraId="5944643A" w14:textId="67F11E53">
            <w:pPr>
              <w:jc w:val="right"/>
            </w:pPr>
            <w:r w:rsidR="57BF2A20">
              <w:rPr/>
              <w:t>20</w:t>
            </w:r>
          </w:p>
        </w:tc>
      </w:tr>
      <w:tr w:rsidR="57BF2A20" w:rsidTr="21009518" w14:paraId="29F4BA25">
        <w:tc>
          <w:tcPr>
            <w:tcW w:w="2655" w:type="dxa"/>
            <w:tcMar/>
            <w:vAlign w:val="center"/>
          </w:tcPr>
          <w:p w:rsidR="57BF2A20" w:rsidRDefault="57BF2A20" w14:paraId="0FFDC173" w14:textId="78C9F045"/>
        </w:tc>
        <w:tc>
          <w:tcPr>
            <w:tcW w:w="1755" w:type="dxa"/>
            <w:tcMar/>
            <w:vAlign w:val="center"/>
          </w:tcPr>
          <w:p w:rsidR="57BF2A20" w:rsidRDefault="57BF2A20" w14:paraId="0066B675" w14:textId="07F8A292"/>
        </w:tc>
        <w:tc>
          <w:tcPr>
            <w:tcW w:w="1425" w:type="dxa"/>
            <w:tcMar/>
            <w:vAlign w:val="center"/>
          </w:tcPr>
          <w:p w:rsidR="57BF2A20" w:rsidRDefault="57BF2A20" w14:paraId="74A50DE2" w14:textId="359DAC00"/>
        </w:tc>
        <w:tc>
          <w:tcPr>
            <w:tcW w:w="1440" w:type="dxa"/>
            <w:tcMar/>
            <w:vAlign w:val="center"/>
          </w:tcPr>
          <w:p w:rsidR="57BF2A20" w:rsidRDefault="57BF2A20" w14:paraId="3255F3EE" w14:textId="6C08B705"/>
        </w:tc>
      </w:tr>
      <w:tr w:rsidR="57BF2A20" w:rsidTr="21009518" w14:paraId="53ABCE11">
        <w:tc>
          <w:tcPr>
            <w:tcW w:w="2655" w:type="dxa"/>
            <w:tcMar/>
            <w:vAlign w:val="center"/>
          </w:tcPr>
          <w:p w:rsidR="57BF2A20" w:rsidP="57BF2A20" w:rsidRDefault="57BF2A20" w14:paraId="7EE57285" w14:textId="7FD5704C">
            <w:pPr>
              <w:rPr>
                <w:b w:val="1"/>
                <w:bCs w:val="1"/>
              </w:rPr>
            </w:pPr>
            <w:r w:rsidRPr="57BF2A20" w:rsidR="57BF2A20">
              <w:rPr>
                <w:b w:val="1"/>
                <w:bCs w:val="1"/>
              </w:rPr>
              <w:t>Other funds</w:t>
            </w:r>
          </w:p>
        </w:tc>
        <w:tc>
          <w:tcPr>
            <w:tcW w:w="1755" w:type="dxa"/>
            <w:tcMar/>
            <w:vAlign w:val="center"/>
          </w:tcPr>
          <w:p w:rsidR="57BF2A20" w:rsidRDefault="57BF2A20" w14:paraId="70826122" w14:textId="2626AFE6"/>
        </w:tc>
        <w:tc>
          <w:tcPr>
            <w:tcW w:w="1425" w:type="dxa"/>
            <w:tcMar/>
            <w:vAlign w:val="center"/>
          </w:tcPr>
          <w:p w:rsidR="57BF2A20" w:rsidRDefault="57BF2A20" w14:paraId="56B14230" w14:textId="79EE602B"/>
        </w:tc>
        <w:tc>
          <w:tcPr>
            <w:tcW w:w="1440" w:type="dxa"/>
            <w:tcMar/>
            <w:vAlign w:val="center"/>
          </w:tcPr>
          <w:p w:rsidR="57BF2A20" w:rsidRDefault="57BF2A20" w14:paraId="4853433C" w14:textId="61CEC5FA"/>
        </w:tc>
      </w:tr>
      <w:tr w:rsidR="57BF2A20" w:rsidTr="21009518" w14:paraId="7BEF4EF1">
        <w:tc>
          <w:tcPr>
            <w:tcW w:w="2655" w:type="dxa"/>
            <w:tcMar/>
            <w:vAlign w:val="center"/>
          </w:tcPr>
          <w:p w:rsidR="57BF2A20" w:rsidRDefault="57BF2A20" w14:paraId="7DD12E2B" w14:textId="1CD2DDCA">
            <w:r w:rsidR="57BF2A20">
              <w:rPr/>
              <w:t>Bench funding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1CEEA0E9" w14:textId="5B536580">
            <w:pPr>
              <w:jc w:val="right"/>
            </w:pPr>
            <w:r w:rsidR="57BF2A20">
              <w:rPr/>
              <w:t>19.17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F26E28F" w14:textId="74E14430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799ED844" w14:textId="4635AA1A"/>
        </w:tc>
      </w:tr>
      <w:tr w:rsidR="57BF2A20" w:rsidTr="21009518" w14:paraId="2FCB2C39">
        <w:tc>
          <w:tcPr>
            <w:tcW w:w="2655" w:type="dxa"/>
            <w:tcMar/>
            <w:vAlign w:val="center"/>
          </w:tcPr>
          <w:p w:rsidR="57BF2A20" w:rsidRDefault="57BF2A20" w14:paraId="00552E56" w14:textId="34E156A4">
            <w:r w:rsidR="57BF2A20">
              <w:rPr/>
              <w:t>Chris O'S donation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325F0291" w14:textId="1630E0B5">
            <w:pPr>
              <w:jc w:val="right"/>
            </w:pPr>
            <w:r w:rsidR="57BF2A20">
              <w:rPr/>
              <w:t>50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DC2822A" w14:textId="35DB1C4C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030577F6" w14:textId="15033783"/>
        </w:tc>
      </w:tr>
      <w:tr w:rsidR="57BF2A20" w:rsidTr="21009518" w14:paraId="1C8783AE">
        <w:tc>
          <w:tcPr>
            <w:tcW w:w="2655" w:type="dxa"/>
            <w:tcMar/>
            <w:vAlign w:val="center"/>
          </w:tcPr>
          <w:p w:rsidR="57BF2A20" w:rsidRDefault="57BF2A20" w14:paraId="4CCBA2FD" w14:textId="347EF69D">
            <w:r w:rsidR="57BF2A20">
              <w:rPr/>
              <w:t>membership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3530931" w14:textId="65ED87C0">
            <w:pPr>
              <w:jc w:val="right"/>
            </w:pPr>
            <w:r w:rsidR="57BF2A20">
              <w:rPr/>
              <w:t>175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7C5076A4" w14:textId="1D918831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6EDB35DB" w14:textId="46ECD3AD"/>
        </w:tc>
      </w:tr>
      <w:tr w:rsidR="57BF2A20" w:rsidTr="21009518" w14:paraId="104CB10B">
        <w:tc>
          <w:tcPr>
            <w:tcW w:w="2655" w:type="dxa"/>
            <w:tcMar/>
            <w:vAlign w:val="center"/>
          </w:tcPr>
          <w:p w:rsidR="57BF2A20" w:rsidRDefault="57BF2A20" w14:paraId="21452329" w14:textId="7E133D11">
            <w:r w:rsidR="57BF2A20">
              <w:rPr/>
              <w:t>Met public gardens grant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09C2117" w14:textId="1074B4E7">
            <w:pPr>
              <w:jc w:val="right"/>
            </w:pPr>
            <w:r w:rsidR="57BF2A20">
              <w:rPr/>
              <w:t>160.79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3AD962EF" w14:textId="4BF49C62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2FCC341E" w14:textId="367F7FFE"/>
        </w:tc>
      </w:tr>
      <w:tr w:rsidR="57BF2A20" w:rsidTr="21009518" w14:paraId="25E44AD7">
        <w:tc>
          <w:tcPr>
            <w:tcW w:w="2655" w:type="dxa"/>
            <w:tcMar/>
            <w:vAlign w:val="center"/>
          </w:tcPr>
          <w:p w:rsidR="57BF2A20" w:rsidRDefault="57BF2A20" w14:paraId="55A0CF47" w14:textId="77393CEC">
            <w:r w:rsidR="57BF2A20">
              <w:rPr/>
              <w:t>Memorial bench (John Parker)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5A107D9" w14:textId="48BFD99E">
            <w:pPr>
              <w:jc w:val="right"/>
            </w:pPr>
            <w:r w:rsidR="57BF2A20">
              <w:rPr/>
              <w:t>830.88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41780FD1" w14:textId="5A1C19EA">
            <w:pPr>
              <w:jc w:val="right"/>
            </w:pPr>
            <w:r w:rsidR="57BF2A20">
              <w:rPr/>
              <w:t>1591.44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320E22EC" w14:textId="261310DE"/>
        </w:tc>
      </w:tr>
      <w:tr w:rsidR="57BF2A20" w:rsidTr="21009518" w14:paraId="260961CB">
        <w:tc>
          <w:tcPr>
            <w:tcW w:w="2655" w:type="dxa"/>
            <w:tcMar/>
            <w:vAlign w:val="center"/>
          </w:tcPr>
          <w:p w:rsidR="57BF2A20" w:rsidRDefault="57BF2A20" w14:paraId="4C155E54" w14:textId="4959C2FA">
            <w:r w:rsidR="57BF2A20">
              <w:rPr/>
              <w:t>donation from Ian McBride fundraiser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7B746BC" w14:textId="0BAAD347">
            <w:pPr>
              <w:jc w:val="right"/>
            </w:pPr>
            <w:r w:rsidR="57BF2A20">
              <w:rPr/>
              <w:t>610.79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8E1BE39" w14:textId="789E5672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12D79D56" w14:textId="1C431BFC"/>
        </w:tc>
      </w:tr>
      <w:tr w:rsidR="57BF2A20" w:rsidTr="21009518" w14:paraId="2B010E49">
        <w:tc>
          <w:tcPr>
            <w:tcW w:w="2655" w:type="dxa"/>
            <w:tcMar/>
            <w:vAlign w:val="center"/>
          </w:tcPr>
          <w:p w:rsidR="57BF2A20" w:rsidRDefault="57BF2A20" w14:paraId="31429210" w14:textId="2BB713E1">
            <w:r w:rsidR="5DE8E725">
              <w:rPr/>
              <w:t>Misc donation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23A8319E" w14:textId="5300481D">
            <w:pPr>
              <w:jc w:val="right"/>
            </w:pPr>
            <w:r w:rsidR="5DE8E725">
              <w:rPr/>
              <w:t>0.33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105E3F3B" w14:textId="58FA401D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6936153F" w14:textId="02A59232"/>
        </w:tc>
      </w:tr>
      <w:tr w:rsidR="57BF2A20" w:rsidTr="21009518" w14:paraId="791741DE">
        <w:tc>
          <w:tcPr>
            <w:tcW w:w="2655" w:type="dxa"/>
            <w:tcMar/>
            <w:vAlign w:val="center"/>
          </w:tcPr>
          <w:p w:rsidR="57BF2A20" w:rsidP="57BF2A20" w:rsidRDefault="57BF2A20" w14:paraId="7D82C5F2" w14:textId="482C2263">
            <w:pPr>
              <w:rPr>
                <w:b w:val="1"/>
                <w:bCs w:val="1"/>
              </w:rPr>
            </w:pPr>
            <w:r w:rsidRPr="57BF2A20" w:rsidR="57BF2A20">
              <w:rPr>
                <w:b w:val="1"/>
                <w:bCs w:val="1"/>
              </w:rPr>
              <w:t>Running costs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21478B52" w14:textId="61F9C910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115521EB" w14:textId="79AFDED9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2F1C47AD" w14:textId="0B7FC48F"/>
        </w:tc>
      </w:tr>
      <w:tr w:rsidR="57BF2A20" w:rsidTr="21009518" w14:paraId="1A2F5292">
        <w:tc>
          <w:tcPr>
            <w:tcW w:w="2655" w:type="dxa"/>
            <w:tcMar/>
            <w:vAlign w:val="center"/>
          </w:tcPr>
          <w:p w:rsidR="57BF2A20" w:rsidRDefault="57BF2A20" w14:paraId="07F4BA93" w14:textId="43D270E6">
            <w:r w:rsidR="57BF2A20">
              <w:rPr/>
              <w:t>publicity (website, adverts, newsletters)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1BB2D557" w14:textId="4ADF744F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47B03B1" w14:textId="567B516B">
            <w:pPr>
              <w:jc w:val="right"/>
            </w:pPr>
            <w:r w:rsidR="57BF2A20">
              <w:rPr/>
              <w:t>1064.21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4B541DCC" w14:textId="53E20ECF"/>
        </w:tc>
      </w:tr>
      <w:tr w:rsidR="57BF2A20" w:rsidTr="21009518" w14:paraId="15F7E743">
        <w:tc>
          <w:tcPr>
            <w:tcW w:w="2655" w:type="dxa"/>
            <w:tcMar/>
            <w:vAlign w:val="center"/>
          </w:tcPr>
          <w:p w:rsidR="57BF2A20" w:rsidRDefault="57BF2A20" w14:paraId="30BBDB58" w14:textId="1F997495">
            <w:r w:rsidR="57BF2A20">
              <w:rPr/>
              <w:t>training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6EF73E03" w14:textId="1D1BAEEE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32D96FE1" w14:textId="48B68A54">
            <w:pPr>
              <w:jc w:val="right"/>
            </w:pPr>
            <w:r w:rsidR="57BF2A20">
              <w:rPr/>
              <w:t>0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778DE1AA" w14:textId="0092D6EB"/>
        </w:tc>
      </w:tr>
      <w:tr w:rsidR="57BF2A20" w:rsidTr="21009518" w14:paraId="216AA4C8">
        <w:tc>
          <w:tcPr>
            <w:tcW w:w="2655" w:type="dxa"/>
            <w:tcMar/>
            <w:vAlign w:val="center"/>
          </w:tcPr>
          <w:p w:rsidR="57BF2A20" w:rsidRDefault="57BF2A20" w14:paraId="1922CAD8" w14:textId="7CDF37BA">
            <w:r w:rsidR="57BF2A20">
              <w:rPr/>
              <w:t>insurance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06C57DD1" w14:textId="70550140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03996F98" w14:textId="063B5334">
            <w:pPr>
              <w:jc w:val="right"/>
            </w:pPr>
            <w:r w:rsidR="57BF2A20">
              <w:rPr/>
              <w:t>79.76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3E7B9229" w14:textId="34AEE487"/>
        </w:tc>
      </w:tr>
      <w:tr w:rsidR="57BF2A20" w:rsidTr="21009518" w14:paraId="1201E3FA">
        <w:tc>
          <w:tcPr>
            <w:tcW w:w="2655" w:type="dxa"/>
            <w:tcMar/>
            <w:vAlign w:val="center"/>
          </w:tcPr>
          <w:p w:rsidR="57BF2A20" w:rsidRDefault="57BF2A20" w14:paraId="4FD285F3" w14:textId="34117BC3"/>
        </w:tc>
        <w:tc>
          <w:tcPr>
            <w:tcW w:w="1755" w:type="dxa"/>
            <w:tcMar/>
            <w:vAlign w:val="center"/>
          </w:tcPr>
          <w:p w:rsidR="57BF2A20" w:rsidP="57BF2A20" w:rsidRDefault="57BF2A20" w14:paraId="785871CF" w14:textId="44D58511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7EB3E768" w14:textId="74626621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335BDB40" w14:textId="409652A7"/>
        </w:tc>
      </w:tr>
      <w:tr w:rsidR="57BF2A20" w:rsidTr="21009518" w14:paraId="0C9B10E4">
        <w:tc>
          <w:tcPr>
            <w:tcW w:w="2655" w:type="dxa"/>
            <w:tcMar/>
            <w:vAlign w:val="center"/>
          </w:tcPr>
          <w:p w:rsidR="57BF2A20" w:rsidRDefault="57BF2A20" w14:paraId="2A1A49E3" w14:textId="65501FAC">
            <w:r w:rsidRPr="5DE8E725" w:rsidR="5DE8E725">
              <w:rPr>
                <w:b w:val="1"/>
                <w:bCs w:val="1"/>
              </w:rPr>
              <w:t>Spend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028BE227" w14:textId="164BE8F2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1F3E79B2" w14:textId="6EBCE084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5D312191" w14:textId="708E4AC3"/>
        </w:tc>
      </w:tr>
      <w:tr w:rsidR="57BF2A20" w:rsidTr="21009518" w14:paraId="7CF92015">
        <w:tc>
          <w:tcPr>
            <w:tcW w:w="2655" w:type="dxa"/>
            <w:tcMar/>
            <w:vAlign w:val="center"/>
          </w:tcPr>
          <w:p w:rsidR="57BF2A20" w:rsidRDefault="57BF2A20" w14:paraId="0E458F6D" w14:textId="743B78A6">
            <w:r w:rsidR="57BF2A20">
              <w:rPr/>
              <w:t>gardening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399688E9" w14:textId="6E114377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287B8E67" w14:textId="103C3A95">
            <w:pPr>
              <w:jc w:val="right"/>
            </w:pPr>
            <w:r w:rsidR="21009518">
              <w:rPr/>
              <w:t>3186.61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42F467F3" w14:textId="4E0FB80B"/>
        </w:tc>
      </w:tr>
      <w:tr w:rsidR="57BF2A20" w:rsidTr="21009518" w14:paraId="76C95926">
        <w:tc>
          <w:tcPr>
            <w:tcW w:w="2655" w:type="dxa"/>
            <w:tcMar/>
            <w:vAlign w:val="center"/>
          </w:tcPr>
          <w:p w:rsidR="57BF2A20" w:rsidRDefault="57BF2A20" w14:paraId="7341201A" w14:textId="015B0B8C">
            <w:r w:rsidR="57BF2A20">
              <w:rPr/>
              <w:t>BBQ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22EA2FF8" w14:textId="4146FC42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21009518" w:rsidRDefault="57BF2A20" w14:paraId="7CCB2BE6" w14:textId="4C1540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1009518">
              <w:rPr/>
              <w:t>150.50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4E1E7818" w14:textId="664FA500"/>
        </w:tc>
      </w:tr>
      <w:tr w:rsidR="57BF2A20" w:rsidTr="21009518" w14:paraId="025F6D3E">
        <w:tc>
          <w:tcPr>
            <w:tcW w:w="2655" w:type="dxa"/>
            <w:tcMar/>
            <w:vAlign w:val="center"/>
          </w:tcPr>
          <w:p w:rsidR="57BF2A20" w:rsidRDefault="57BF2A20" w14:paraId="67E1AAC8" w14:textId="0DE9E466">
            <w:r w:rsidR="57BF2A20">
              <w:rPr/>
              <w:t>Lights/batteries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1227E28A" w14:textId="252A4662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35118106" w14:textId="5F809839">
            <w:pPr>
              <w:jc w:val="right"/>
            </w:pPr>
            <w:r w:rsidR="57BF2A20">
              <w:rPr/>
              <w:t>67.97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35D4D257" w14:textId="5EDBBE1C"/>
        </w:tc>
      </w:tr>
      <w:tr w:rsidR="57BF2A20" w:rsidTr="21009518" w14:paraId="7B2901FD">
        <w:tc>
          <w:tcPr>
            <w:tcW w:w="2655" w:type="dxa"/>
            <w:tcMar/>
            <w:vAlign w:val="center"/>
          </w:tcPr>
          <w:p w:rsidR="57BF2A20" w:rsidRDefault="57BF2A20" w14:paraId="79A3AD63" w14:textId="52B3284D">
            <w:r w:rsidR="57BF2A20">
              <w:rPr/>
              <w:t>Misc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5DFFB36" w14:textId="210BC711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3E0782E0" w14:textId="0D302730">
            <w:pPr>
              <w:jc w:val="right"/>
            </w:pPr>
            <w:r w:rsidR="7213BD79">
              <w:rPr/>
              <w:t>97.66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529C0880" w14:textId="30C1A2DA"/>
        </w:tc>
      </w:tr>
      <w:tr w:rsidR="57BF2A20" w:rsidTr="21009518" w14:paraId="7D0099AD">
        <w:tc>
          <w:tcPr>
            <w:tcW w:w="2655" w:type="dxa"/>
            <w:tcMar/>
            <w:vAlign w:val="center"/>
          </w:tcPr>
          <w:p w:rsidR="57BF2A20" w:rsidRDefault="57BF2A20" w14:paraId="03BAF3FD" w14:textId="6900396F"/>
        </w:tc>
        <w:tc>
          <w:tcPr>
            <w:tcW w:w="1755" w:type="dxa"/>
            <w:tcMar/>
            <w:vAlign w:val="center"/>
          </w:tcPr>
          <w:p w:rsidR="57BF2A20" w:rsidP="57BF2A20" w:rsidRDefault="57BF2A20" w14:paraId="4DFDDA5D" w14:textId="0EA70738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6097C159" w14:textId="729EDA5E">
            <w:pPr>
              <w:jc w:val="right"/>
            </w:pPr>
          </w:p>
        </w:tc>
        <w:tc>
          <w:tcPr>
            <w:tcW w:w="1440" w:type="dxa"/>
            <w:tcMar/>
            <w:vAlign w:val="center"/>
          </w:tcPr>
          <w:p w:rsidR="57BF2A20" w:rsidRDefault="57BF2A20" w14:paraId="60211B9E" w14:textId="24F8B8EF"/>
        </w:tc>
      </w:tr>
      <w:tr w:rsidR="57BF2A20" w:rsidTr="21009518" w14:paraId="1DCE12A5">
        <w:tc>
          <w:tcPr>
            <w:tcW w:w="2655" w:type="dxa"/>
            <w:tcMar/>
            <w:vAlign w:val="center"/>
          </w:tcPr>
          <w:p w:rsidR="57BF2A20" w:rsidRDefault="57BF2A20" w14:paraId="2A89124F" w14:textId="3FCFC189">
            <w:r w:rsidR="57BF2A20">
              <w:rPr/>
              <w:t>donation to Living Well foodbank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370A4B41" w14:textId="05918CAE">
            <w:pPr>
              <w:jc w:val="right"/>
            </w:pP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22BB39DF" w14:textId="0CF737A0">
            <w:pPr>
              <w:jc w:val="right"/>
            </w:pPr>
            <w:r w:rsidR="57BF2A20">
              <w:rPr/>
              <w:t>33</w:t>
            </w:r>
          </w:p>
        </w:tc>
        <w:tc>
          <w:tcPr>
            <w:tcW w:w="1440" w:type="dxa"/>
            <w:tcMar/>
            <w:vAlign w:val="center"/>
          </w:tcPr>
          <w:p w:rsidR="57BF2A20" w:rsidRDefault="57BF2A20" w14:paraId="782C0F08" w14:textId="76D47884"/>
        </w:tc>
      </w:tr>
      <w:tr w:rsidR="57BF2A20" w:rsidTr="21009518" w14:paraId="15070DBE">
        <w:tc>
          <w:tcPr>
            <w:tcW w:w="2655" w:type="dxa"/>
            <w:tcMar/>
            <w:vAlign w:val="center"/>
          </w:tcPr>
          <w:p w:rsidR="57BF2A20" w:rsidRDefault="57BF2A20" w14:paraId="39A43388" w14:textId="5153C8B3"/>
        </w:tc>
        <w:tc>
          <w:tcPr>
            <w:tcW w:w="1755" w:type="dxa"/>
            <w:tcMar/>
            <w:vAlign w:val="center"/>
          </w:tcPr>
          <w:p w:rsidR="57BF2A20" w:rsidRDefault="57BF2A20" w14:paraId="239BFD12" w14:textId="3F19EA53"/>
        </w:tc>
        <w:tc>
          <w:tcPr>
            <w:tcW w:w="1425" w:type="dxa"/>
            <w:tcMar/>
            <w:vAlign w:val="center"/>
          </w:tcPr>
          <w:p w:rsidR="57BF2A20" w:rsidRDefault="57BF2A20" w14:paraId="5224477E" w14:textId="2C051850"/>
        </w:tc>
        <w:tc>
          <w:tcPr>
            <w:tcW w:w="1440" w:type="dxa"/>
            <w:tcMar/>
            <w:vAlign w:val="center"/>
          </w:tcPr>
          <w:p w:rsidR="57BF2A20" w:rsidRDefault="57BF2A20" w14:paraId="2EFFF5DE" w14:textId="2C4E60C8"/>
        </w:tc>
      </w:tr>
      <w:tr w:rsidR="57BF2A20" w:rsidTr="21009518" w14:paraId="6F635686">
        <w:tc>
          <w:tcPr>
            <w:tcW w:w="2655" w:type="dxa"/>
            <w:tcMar/>
            <w:vAlign w:val="center"/>
          </w:tcPr>
          <w:p w:rsidR="57BF2A20" w:rsidP="57BF2A20" w:rsidRDefault="57BF2A20" w14:paraId="5B53000E" w14:textId="763BE247">
            <w:pPr>
              <w:rPr>
                <w:b w:val="1"/>
                <w:bCs w:val="1"/>
              </w:rPr>
            </w:pPr>
            <w:r w:rsidRPr="57BF2A20" w:rsidR="57BF2A20">
              <w:rPr>
                <w:b w:val="1"/>
                <w:bCs w:val="1"/>
              </w:rPr>
              <w:t>Total</w:t>
            </w:r>
          </w:p>
        </w:tc>
        <w:tc>
          <w:tcPr>
            <w:tcW w:w="1755" w:type="dxa"/>
            <w:tcMar/>
            <w:vAlign w:val="center"/>
          </w:tcPr>
          <w:p w:rsidR="57BF2A20" w:rsidP="57BF2A20" w:rsidRDefault="57BF2A20" w14:paraId="4BC2757C" w14:textId="29F8C2F1">
            <w:pPr>
              <w:jc w:val="right"/>
            </w:pPr>
            <w:r w:rsidR="5DE8E725">
              <w:rPr/>
              <w:t>12045.91</w:t>
            </w:r>
          </w:p>
        </w:tc>
        <w:tc>
          <w:tcPr>
            <w:tcW w:w="1425" w:type="dxa"/>
            <w:tcMar/>
            <w:vAlign w:val="center"/>
          </w:tcPr>
          <w:p w:rsidR="57BF2A20" w:rsidP="57BF2A20" w:rsidRDefault="57BF2A20" w14:paraId="5A7959AB" w14:textId="0E692AF8">
            <w:pPr>
              <w:jc w:val="right"/>
            </w:pPr>
            <w:r w:rsidR="5DE8E725">
              <w:rPr/>
              <w:t>11638.17</w:t>
            </w:r>
          </w:p>
        </w:tc>
        <w:tc>
          <w:tcPr>
            <w:tcW w:w="144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7BF2A20" w:rsidRDefault="57BF2A20" w14:paraId="0D102533" w14:textId="4B804843"/>
        </w:tc>
      </w:tr>
    </w:tbl>
    <w:p w:rsidR="57BF2A20" w:rsidP="57BF2A20" w:rsidRDefault="57BF2A20" w14:paraId="0D8A2685" w14:textId="7F88C61F">
      <w:pPr>
        <w:pStyle w:val="Normal"/>
      </w:pPr>
    </w:p>
    <w:p w:rsidR="00231060" w:rsidP="7EC63A09" w:rsidRDefault="32B1DCB2" w14:paraId="583C4F98" w14:textId="6FF4C5C4">
      <w:pPr>
        <w:pStyle w:val="xxmsonormal"/>
        <w:rPr>
          <w:rFonts w:ascii="Calibri Light" w:hAnsi="Calibri Light" w:cs="" w:asciiTheme="majorAscii" w:hAnsiTheme="majorAscii" w:cstheme="majorBidi"/>
          <w:color w:val="000000"/>
        </w:rPr>
      </w:pPr>
      <w:r w:rsidRPr="5DE8E725" w:rsidR="5DE8E725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Close of accounts on </w:t>
      </w:r>
      <w:r w:rsidRPr="5DE8E725" w:rsidR="5DE8E725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30 September 2022 </w:t>
      </w:r>
      <w:r w:rsidRPr="5DE8E725" w:rsidR="5DE8E725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= £ 7846.59</w:t>
      </w:r>
    </w:p>
    <w:p w:rsidR="7EC63A09" w:rsidP="7EC63A09" w:rsidRDefault="7EC63A09" w14:paraId="5C95796F" w14:textId="42CFED6F">
      <w:pPr>
        <w:pStyle w:val="xxmsonormal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0231060" w:rsidP="54F23E8E" w:rsidRDefault="32B1DCB2" w14:paraId="7D39CAB2" w14:textId="3F27FBA2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/>
        </w:rPr>
      </w:pPr>
      <w:r w:rsidRPr="5DE8E725" w:rsidR="5DE8E725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Monies available for future </w:t>
      </w:r>
      <w:proofErr w:type="spellStart"/>
      <w:r w:rsidRPr="5DE8E725" w:rsidR="5DE8E725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FoCAAR</w:t>
      </w:r>
      <w:proofErr w:type="spellEnd"/>
      <w:r w:rsidRPr="5DE8E725" w:rsidR="5DE8E725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 activities (*minus reserves, benches &amp; memorial project): </w:t>
      </w:r>
      <w:r w:rsidRPr="5DE8E725" w:rsidR="5DE8E725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£5,524.80</w:t>
      </w:r>
    </w:p>
    <w:p w:rsidR="7EC63A09" w:rsidP="7EC63A09" w:rsidRDefault="7EC63A09" w14:paraId="22A9B9DD" w14:textId="4B8F5C93">
      <w:pPr>
        <w:pStyle w:val="xxmsonormal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</w:rPr>
      </w:pPr>
    </w:p>
    <w:p w:rsidR="00231060" w:rsidP="57BF2A20" w:rsidRDefault="00BD183D" w14:paraId="469940C3" w14:textId="77777777">
      <w:pPr>
        <w:pStyle w:val="xxmsonormal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</w:pPr>
      <w:r w:rsidRPr="57BF2A20" w:rsidR="57BF2A20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4"/>
          <w:szCs w:val="24"/>
          <w:lang w:eastAsia="en-GB"/>
        </w:rPr>
        <w:t>*</w:t>
      </w:r>
      <w:r w:rsidRPr="57BF2A20" w:rsidR="57BF2A20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Makaya McDermott/Rosie Cooper Memorial project</w:t>
      </w:r>
    </w:p>
    <w:p w:rsidR="00231060" w:rsidP="57BF2A20" w:rsidRDefault="00231060" w14:paraId="00565DC6" w14:textId="5D0E0A11">
      <w:pPr>
        <w:pStyle w:val="xxmsonormal"/>
        <w:rPr>
          <w:rFonts w:ascii="Calibri Light" w:hAnsi="Calibri Light" w:cs="Calibri Light" w:asciiTheme="majorAscii" w:hAnsiTheme="majorAscii" w:cstheme="majorAscii"/>
          <w:color w:val="000000"/>
        </w:rPr>
      </w:pPr>
      <w:r w:rsidRPr="57BF2A20" w:rsidR="57BF2A20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4"/>
          <w:szCs w:val="24"/>
          <w:lang w:eastAsia="en-GB"/>
        </w:rPr>
        <w:t>£420.00 remains in the project fund for tree or memorial bench maintenance requirements for the memorial</w:t>
      </w:r>
      <w:r w:rsidRPr="57BF2A20" w:rsidR="57BF2A20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4"/>
          <w:szCs w:val="24"/>
          <w:lang w:eastAsia="en-GB"/>
        </w:rPr>
        <w:t>’</w:t>
      </w:r>
      <w:r w:rsidRPr="57BF2A20" w:rsidR="57BF2A20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s sites in Alexandra Recreation Ground in future years.</w:t>
      </w:r>
    </w:p>
    <w:p w:rsidR="00BC555F" w:rsidP="00BC555F" w:rsidRDefault="00BC555F" w14:paraId="78AFF22E" w14:textId="5F4660C3">
      <w:pPr>
        <w:pStyle w:val="xxmsonormal"/>
        <w:rPr>
          <w:rFonts w:asciiTheme="majorHAnsi" w:hAnsiTheme="majorHAnsi" w:cstheme="majorHAnsi"/>
          <w:color w:val="000000"/>
        </w:rPr>
      </w:pPr>
      <w:r w:rsidRPr="00BC555F">
        <w:rPr>
          <w:rFonts w:asciiTheme="majorHAnsi" w:hAnsiTheme="majorHAnsi" w:cstheme="majorHAnsi"/>
          <w:b/>
          <w:bCs/>
          <w:color w:val="000000"/>
        </w:rPr>
        <w:t>*</w:t>
      </w:r>
      <w:r>
        <w:rPr>
          <w:rFonts w:asciiTheme="majorHAnsi" w:hAnsiTheme="majorHAnsi" w:cstheme="majorHAnsi"/>
          <w:b/>
          <w:bCs/>
          <w:color w:val="000000"/>
        </w:rPr>
        <w:t xml:space="preserve"> Benches</w:t>
      </w:r>
    </w:p>
    <w:p w:rsidRPr="00BC555F" w:rsidR="00BC555F" w:rsidP="54F23E8E" w:rsidRDefault="424EFFA9" w14:paraId="1A9D03FB" w14:textId="6E992623">
      <w:pPr>
        <w:pStyle w:val="xxmsonormal"/>
        <w:rPr>
          <w:rFonts w:ascii="Calibri Light" w:hAnsi="Calibri Light" w:cs="" w:asciiTheme="majorAscii" w:hAnsiTheme="majorAscii" w:cstheme="majorBidi"/>
          <w:color w:val="000000"/>
        </w:rPr>
      </w:pPr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One GoFundMe campaign for a bench in was live during the accounting year and there is an £691 earmarked from funds for this.</w:t>
      </w:r>
    </w:p>
    <w:p w:rsidR="57BF2A20" w:rsidP="57BF2A20" w:rsidRDefault="57BF2A20" w14:paraId="3E275098" w14:textId="4A6E62F4">
      <w:pPr>
        <w:pStyle w:val="xxmsonormal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</w:pPr>
      <w:r w:rsidRPr="57BF2A20" w:rsidR="57BF2A2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* Ian McBride donations</w:t>
      </w:r>
    </w:p>
    <w:p w:rsidR="57BF2A20" w:rsidP="57BF2A20" w:rsidRDefault="57BF2A20" w14:paraId="009DA43C" w14:textId="7ACC47BC">
      <w:pPr>
        <w:pStyle w:val="xxmsonormal"/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</w:pPr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£610.79 was donated by Friends and Family of </w:t>
      </w:r>
      <w:proofErr w:type="spellStart"/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ian</w:t>
      </w:r>
      <w:proofErr w:type="spellEnd"/>
      <w:r w:rsidRPr="57BF2A20" w:rsidR="57BF2A20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 McBride for memorial plants in the park.</w:t>
      </w:r>
    </w:p>
    <w:p w:rsidR="00231060" w:rsidP="00231060" w:rsidRDefault="00BD183D" w14:paraId="0C581BBF" w14:textId="77777777">
      <w:pPr>
        <w:pStyle w:val="xxmsonormal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*</w:t>
      </w:r>
      <w:r w:rsidR="00231060">
        <w:rPr>
          <w:rFonts w:asciiTheme="majorHAnsi" w:hAnsiTheme="majorHAnsi" w:cstheme="majorHAnsi"/>
          <w:b/>
          <w:color w:val="000000"/>
        </w:rPr>
        <w:t>Financial reserves</w:t>
      </w:r>
    </w:p>
    <w:p w:rsidRPr="00231060" w:rsidR="00231060" w:rsidP="32B1DCB2" w:rsidRDefault="32B1DCB2" w14:paraId="2B2D2550" w14:textId="216C1114">
      <w:pPr>
        <w:pStyle w:val="xxmsonormal"/>
        <w:rPr>
          <w:rFonts w:asciiTheme="majorHAnsi" w:hAnsiTheme="majorHAnsi" w:cstheme="majorBidi"/>
          <w:b/>
          <w:bCs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It is FoCAAR practice to maintain a reserve balance of £500 to cover administration costs if required. </w:t>
      </w:r>
    </w:p>
    <w:p w:rsidR="7EC63A09" w:rsidP="7EC63A09" w:rsidRDefault="7EC63A09" w14:paraId="6B666CE9" w14:textId="62C23E60">
      <w:pPr>
        <w:pStyle w:val="xxmsonormal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</w:rPr>
      </w:pPr>
    </w:p>
    <w:p w:rsidR="006922FB" w:rsidP="007E5ADD" w:rsidRDefault="006922FB" w14:paraId="7DFD3562" w14:textId="77777777">
      <w:pPr>
        <w:pStyle w:val="xxmsonormal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Donations: </w:t>
      </w:r>
    </w:p>
    <w:p w:rsidR="009A441A" w:rsidP="7EC63A09" w:rsidRDefault="009A441A" w14:paraId="646628B8" w14:textId="78D53AF8">
      <w:pPr>
        <w:pStyle w:val="xxmsonormal"/>
        <w:rPr>
          <w:rFonts w:ascii="Calibri Light" w:hAnsi="Calibri Light" w:cs="Calibri Light" w:asciiTheme="majorAscii" w:hAnsiTheme="majorAscii" w:cstheme="majorAscii"/>
          <w:color w:val="000000" w:themeColor="text1"/>
        </w:rPr>
      </w:pPr>
      <w:r w:rsidRPr="7EC63A09" w:rsidR="7EC63A09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The friends receive small cash donations throughout the year at our events either as direct offerings for refreshments provided or as small donations on our walks/ talks.  </w:t>
      </w:r>
    </w:p>
    <w:p w:rsidR="7EC63A09" w:rsidP="7EC63A09" w:rsidRDefault="7EC63A09" w14:paraId="2168B567" w14:textId="461F0C33">
      <w:pPr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</w:pPr>
    </w:p>
    <w:p w:rsidR="7EC63A09" w:rsidRDefault="7EC63A09" w14:paraId="4CA5F63A" w14:textId="5C6E167F">
      <w:r>
        <w:br w:type="page"/>
      </w:r>
    </w:p>
    <w:p w:rsidR="00B261FB" w:rsidP="7EC63A09" w:rsidRDefault="424EFFA9" w14:paraId="32EA0575" w14:textId="46A749F2">
      <w:pPr>
        <w:rPr>
          <w:rFonts w:ascii="Calibri Light" w:hAnsi="Calibri Light" w:cs="" w:asciiTheme="majorAscii" w:hAnsiTheme="majorAscii" w:cstheme="majorBidi"/>
          <w:b w:val="1"/>
          <w:bCs w:val="1"/>
          <w:color w:val="000000"/>
        </w:rPr>
      </w:pPr>
      <w:r w:rsidRPr="7EC63A09" w:rsidR="7EC63A09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</w:rPr>
        <w:t>Asset Register:</w:t>
      </w:r>
    </w:p>
    <w:p w:rsidRPr="00231060" w:rsidR="00231060" w:rsidP="007E5ADD" w:rsidRDefault="32B1DCB2" w14:paraId="52706C40" w14:textId="097043E9">
      <w:pPr>
        <w:pStyle w:val="xxmsonormal"/>
        <w:rPr>
          <w:rFonts w:asciiTheme="majorHAnsi" w:hAnsiTheme="majorHAnsi" w:cstheme="majorHAnsi"/>
          <w:bCs/>
          <w:color w:val="000000"/>
        </w:rPr>
      </w:pPr>
      <w:r w:rsidRPr="32B1DCB2">
        <w:rPr>
          <w:rFonts w:asciiTheme="majorHAnsi" w:hAnsiTheme="majorHAnsi" w:cstheme="majorBidi"/>
          <w:color w:val="000000" w:themeColor="text1"/>
        </w:rPr>
        <w:t>Our current assets are listed below and are made available for events or for both sub committees use.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4320"/>
        <w:gridCol w:w="3046"/>
      </w:tblGrid>
      <w:tr w:rsidR="000876AC" w:rsidTr="57BF2A20" w14:paraId="2CC66E3F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="000876AC" w:rsidRDefault="000876AC" w14:paraId="4F130EE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Asset Register- assets logged to date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292FE0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="000876AC" w:rsidTr="57BF2A20" w14:paraId="47B1B6D2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538025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7626C0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="000876AC" w:rsidTr="57BF2A20" w14:paraId="593F145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07BF75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Bat Detectors x 3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5700EA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Forks x 2 (Alex)</w:t>
            </w:r>
          </w:p>
        </w:tc>
      </w:tr>
      <w:tr w:rsidR="000876AC" w:rsidTr="57BF2A20" w14:paraId="7286C531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63FC82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Bat detectors x 3 2017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691555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6 yoga Mats</w:t>
            </w:r>
          </w:p>
        </w:tc>
      </w:tr>
      <w:tr w:rsidR="000876AC" w:rsidTr="57BF2A20" w14:paraId="47350B4D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3747D5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Catering flasks x 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59E87D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4 yoga Mats</w:t>
            </w:r>
          </w:p>
        </w:tc>
      </w:tr>
      <w:tr w:rsidR="000876AC" w:rsidTr="57BF2A20" w14:paraId="2AE3DC11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58FF67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2 x lopper Pruner set Heavy Duty inc 2 pruners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591F8F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10 footballs </w:t>
            </w:r>
          </w:p>
        </w:tc>
      </w:tr>
      <w:tr w:rsidR="000876AC" w:rsidTr="57BF2A20" w14:paraId="1E19D255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027E35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6x pruners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3EC4C7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1 football hand pump</w:t>
            </w:r>
          </w:p>
        </w:tc>
      </w:tr>
      <w:tr w:rsidR="000876AC" w:rsidTr="57BF2A20" w14:paraId="7F1AAA58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5FA6CE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3x6m pop up gazebo (March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1D41C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football holdall</w:t>
            </w:r>
          </w:p>
        </w:tc>
      </w:tr>
      <w:tr w:rsidR="000876AC" w:rsidTr="57BF2A20" w14:paraId="12497155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3D05F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4 x folding chairs (May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29CC0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2 hula hoops </w:t>
            </w:r>
          </w:p>
        </w:tc>
      </w:tr>
      <w:tr w:rsidR="000876AC" w:rsidTr="57BF2A20" w14:paraId="50907773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268D7D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4 x folding tables (May 2019)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1D25DC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6 orange cones</w:t>
            </w:r>
          </w:p>
        </w:tc>
      </w:tr>
      <w:tr w:rsidR="000876AC" w:rsidTr="57BF2A20" w14:paraId="0873ED82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514348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Extended Lopper (May 2019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1D2DFD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12 football markers </w:t>
            </w:r>
          </w:p>
        </w:tc>
      </w:tr>
      <w:tr w:rsidR="000876AC" w:rsidTr="57BF2A20" w14:paraId="6B55910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626B37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Rake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4637F2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 Board Notice </w:t>
            </w:r>
          </w:p>
        </w:tc>
      </w:tr>
      <w:tr w:rsidR="000876AC" w:rsidTr="57BF2A20" w14:paraId="0C9E4CC9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4CA9F5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Rake &amp; brush &amp; dustpan set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2F4BDE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water bowser</w:t>
            </w:r>
          </w:p>
        </w:tc>
      </w:tr>
      <w:tr w:rsidR="000876AC" w:rsidTr="57BF2A20" w14:paraId="5FBCBB70" w14:textId="77777777">
        <w:trPr>
          <w:trHeight w:val="300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2FF47A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2 Spades &amp; 2 Forks (Cator park) 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511CFA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Izettle card reader</w:t>
            </w:r>
          </w:p>
        </w:tc>
      </w:tr>
      <w:tr w:rsidR="000876AC" w:rsidTr="57BF2A20" w14:paraId="0F6CE70D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666F9D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1 pair shears (Cator)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="000876AC" w:rsidRDefault="000876AC" w14:paraId="630344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Leaflet dispensers x 2</w:t>
            </w:r>
          </w:p>
        </w:tc>
      </w:tr>
      <w:tr w:rsidR="000876AC" w:rsidTr="57BF2A20" w14:paraId="6B636CBC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5FE89C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Hand Trowel &amp; fork set – Cator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0876AC" w:rsidRDefault="32B1DCB2" w14:paraId="79C0900E" w14:textId="30322B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32B1DCB2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Container</w:t>
            </w:r>
            <w:r w:rsidR="009A441A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(Cator)</w:t>
            </w:r>
          </w:p>
        </w:tc>
      </w:tr>
      <w:tr w:rsidR="000876AC" w:rsidTr="57BF2A20" w14:paraId="5F5DCD22" w14:textId="77777777">
        <w:trPr>
          <w:trHeight w:val="300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0876AC" w:rsidRDefault="000876AC" w14:paraId="604F47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Bulb planter x 2 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0876AC" w:rsidRDefault="000876AC" w14:paraId="5C7DC0E4" w14:textId="28AF43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57BF2A20" w:rsidR="57BF2A20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Sumup</w:t>
            </w:r>
            <w:proofErr w:type="spellEnd"/>
            <w:r w:rsidRPr="57BF2A20" w:rsidR="57BF2A20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card reader</w:t>
            </w:r>
          </w:p>
        </w:tc>
      </w:tr>
    </w:tbl>
    <w:p w:rsidRPr="006A1CEE" w:rsidR="00715F90" w:rsidP="00F33C84" w:rsidRDefault="00715F90" w14:paraId="0D1555AD" w14:textId="1E367816">
      <w:pPr>
        <w:pStyle w:val="xxmsonormal"/>
        <w:rPr>
          <w:rFonts w:asciiTheme="majorHAnsi" w:hAnsiTheme="majorHAnsi" w:cstheme="majorHAnsi"/>
          <w:color w:val="000000"/>
        </w:rPr>
      </w:pPr>
    </w:p>
    <w:sectPr w:rsidRPr="006A1CEE" w:rsidR="00715F90" w:rsidSect="0092170C">
      <w:footerReference w:type="default" r:id="rId7"/>
      <w:pgSz w:w="11906" w:h="16838" w:orient="portrait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BF9" w:rsidP="002E2C52" w:rsidRDefault="00A97BF9" w14:paraId="05648387" w14:textId="77777777">
      <w:pPr>
        <w:spacing w:after="0" w:line="240" w:lineRule="auto"/>
      </w:pPr>
      <w:r>
        <w:separator/>
      </w:r>
    </w:p>
  </w:endnote>
  <w:endnote w:type="continuationSeparator" w:id="0">
    <w:p w:rsidR="00A97BF9" w:rsidP="002E2C52" w:rsidRDefault="00A97BF9" w14:paraId="0990F4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2E2C52" w:rsidRDefault="002E2C52" w14:paraId="264F54AA" w14:textId="3574D7F4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1341E" wp14:editId="61F947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00D8A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 w:rsidR="00EA5A87">
      <w:rPr>
        <w:color w:val="5B9BD5" w:themeColor="accent1"/>
      </w:rPr>
      <w:t xml:space="preserve">Friends of Cator &amp; Alexandra – AGM treasurer’s </w:t>
    </w:r>
    <w:r w:rsidR="00443F64">
      <w:rPr>
        <w:color w:val="5B9BD5" w:themeColor="accent1"/>
      </w:rPr>
      <w:t xml:space="preserve">report </w:t>
    </w:r>
    <w:r w:rsidR="009A441A">
      <w:rPr>
        <w:color w:val="5B9BD5" w:themeColor="accent1"/>
      </w:rPr>
      <w:t>17</w:t>
    </w:r>
    <w:r w:rsidRPr="009A441A" w:rsidR="009A441A">
      <w:rPr>
        <w:color w:val="5B9BD5" w:themeColor="accent1"/>
        <w:vertAlign w:val="superscript"/>
      </w:rPr>
      <w:t>th</w:t>
    </w:r>
    <w:r w:rsidR="009A441A">
      <w:rPr>
        <w:color w:val="5B9BD5" w:themeColor="accent1"/>
      </w:rPr>
      <w:t xml:space="preserve"> </w:t>
    </w:r>
    <w:r w:rsidR="00392656">
      <w:rPr>
        <w:color w:val="5B9BD5" w:themeColor="accent1"/>
      </w:rPr>
      <w:t>November</w:t>
    </w:r>
    <w:r w:rsidR="00EA5A87">
      <w:rPr>
        <w:color w:val="5B9BD5" w:themeColor="accent1"/>
      </w:rPr>
      <w:t xml:space="preserve"> 20</w:t>
    </w:r>
    <w:r w:rsidR="00392656">
      <w:rPr>
        <w:color w:val="5B9BD5" w:themeColor="accent1"/>
      </w:rPr>
      <w:t>2</w:t>
    </w:r>
    <w:r w:rsidR="009A441A">
      <w:rPr>
        <w:color w:val="5B9BD5" w:themeColor="accent1"/>
      </w:rPr>
      <w:t>1</w:t>
    </w:r>
    <w:r>
      <w:rPr>
        <w:color w:val="5B9BD5" w:themeColor="accent1"/>
      </w:rPr>
      <w:t xml:space="preserve"> 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Pr="005216D6" w:rsidR="005216D6">
      <w:rPr>
        <w:rFonts w:asciiTheme="majorHAnsi" w:hAnsiTheme="majorHAnsi" w:eastAsiaTheme="majorEastAsia" w:cstheme="majorBidi"/>
        <w:noProof/>
        <w:color w:val="5B9BD5" w:themeColor="accent1"/>
        <w:sz w:val="20"/>
        <w:szCs w:val="20"/>
      </w:rPr>
      <w:t>1</w:t>
    </w:r>
    <w:r>
      <w:rPr>
        <w:rFonts w:asciiTheme="majorHAnsi" w:hAnsiTheme="majorHAnsi" w:eastAsiaTheme="majorEastAsia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BF9" w:rsidP="002E2C52" w:rsidRDefault="00A97BF9" w14:paraId="439905BE" w14:textId="77777777">
      <w:pPr>
        <w:spacing w:after="0" w:line="240" w:lineRule="auto"/>
      </w:pPr>
      <w:r>
        <w:separator/>
      </w:r>
    </w:p>
  </w:footnote>
  <w:footnote w:type="continuationSeparator" w:id="0">
    <w:p w:rsidR="00A97BF9" w:rsidP="002E2C52" w:rsidRDefault="00A97BF9" w14:paraId="64AB0A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63B"/>
    <w:multiLevelType w:val="hybridMultilevel"/>
    <w:tmpl w:val="397E2944"/>
    <w:lvl w:ilvl="0" w:tplc="3848A7B4">
      <w:start w:val="2"/>
      <w:numFmt w:val="bullet"/>
      <w:lvlText w:val=""/>
      <w:lvlJc w:val="left"/>
      <w:pPr>
        <w:ind w:left="720" w:hanging="360"/>
      </w:pPr>
      <w:rPr>
        <w:rFonts w:hint="default" w:ascii="Symbol" w:hAnsi="Symbol" w:eastAsia="Times New Roman" w:cstheme="maj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3E0492"/>
    <w:multiLevelType w:val="hybridMultilevel"/>
    <w:tmpl w:val="E8C8BD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90"/>
    <w:rsid w:val="0006173D"/>
    <w:rsid w:val="000876AC"/>
    <w:rsid w:val="000C4A0E"/>
    <w:rsid w:val="001B4562"/>
    <w:rsid w:val="00212EB6"/>
    <w:rsid w:val="00231060"/>
    <w:rsid w:val="0023747E"/>
    <w:rsid w:val="0027761D"/>
    <w:rsid w:val="002B3D85"/>
    <w:rsid w:val="002C7F4F"/>
    <w:rsid w:val="002E2C52"/>
    <w:rsid w:val="002F58C3"/>
    <w:rsid w:val="003526F7"/>
    <w:rsid w:val="00356A29"/>
    <w:rsid w:val="00362153"/>
    <w:rsid w:val="00384261"/>
    <w:rsid w:val="00386EC8"/>
    <w:rsid w:val="00392656"/>
    <w:rsid w:val="003C10A9"/>
    <w:rsid w:val="003F1FFF"/>
    <w:rsid w:val="00443F64"/>
    <w:rsid w:val="00464D3C"/>
    <w:rsid w:val="004D20E3"/>
    <w:rsid w:val="004D2A78"/>
    <w:rsid w:val="004E2F05"/>
    <w:rsid w:val="005216D6"/>
    <w:rsid w:val="005653BA"/>
    <w:rsid w:val="00624FBC"/>
    <w:rsid w:val="00686D53"/>
    <w:rsid w:val="006922FB"/>
    <w:rsid w:val="006A1CEE"/>
    <w:rsid w:val="006A6DB7"/>
    <w:rsid w:val="006B1155"/>
    <w:rsid w:val="006B36A5"/>
    <w:rsid w:val="006C1EBA"/>
    <w:rsid w:val="006C5D9C"/>
    <w:rsid w:val="006C67CA"/>
    <w:rsid w:val="00715F90"/>
    <w:rsid w:val="007369F7"/>
    <w:rsid w:val="007C29FF"/>
    <w:rsid w:val="007C7576"/>
    <w:rsid w:val="007E5ADD"/>
    <w:rsid w:val="007F7FCC"/>
    <w:rsid w:val="00841BDE"/>
    <w:rsid w:val="008D24DE"/>
    <w:rsid w:val="0090426F"/>
    <w:rsid w:val="0090695B"/>
    <w:rsid w:val="0092170C"/>
    <w:rsid w:val="009A441A"/>
    <w:rsid w:val="009C499C"/>
    <w:rsid w:val="00A97BF9"/>
    <w:rsid w:val="00AD1975"/>
    <w:rsid w:val="00B261FB"/>
    <w:rsid w:val="00BA022F"/>
    <w:rsid w:val="00BA6A1D"/>
    <w:rsid w:val="00BC555F"/>
    <w:rsid w:val="00BD183D"/>
    <w:rsid w:val="00CA6CB0"/>
    <w:rsid w:val="00CC0CF2"/>
    <w:rsid w:val="00D4013C"/>
    <w:rsid w:val="00D730B9"/>
    <w:rsid w:val="00D86751"/>
    <w:rsid w:val="00DA19FA"/>
    <w:rsid w:val="00E0600E"/>
    <w:rsid w:val="00E80D8B"/>
    <w:rsid w:val="00E91D0A"/>
    <w:rsid w:val="00EA5A87"/>
    <w:rsid w:val="00EF59DF"/>
    <w:rsid w:val="00F257B5"/>
    <w:rsid w:val="00F33C84"/>
    <w:rsid w:val="00F43DC5"/>
    <w:rsid w:val="0AAC8F2A"/>
    <w:rsid w:val="1B07F9DE"/>
    <w:rsid w:val="21009518"/>
    <w:rsid w:val="32B1DCB2"/>
    <w:rsid w:val="4127BF8B"/>
    <w:rsid w:val="424EFFA9"/>
    <w:rsid w:val="54F23E8E"/>
    <w:rsid w:val="57BF2A20"/>
    <w:rsid w:val="5DE8E725"/>
    <w:rsid w:val="6430D582"/>
    <w:rsid w:val="7213BD79"/>
    <w:rsid w:val="7D1F5064"/>
    <w:rsid w:val="7EC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1F5064"/>
  <w15:chartTrackingRefBased/>
  <w15:docId w15:val="{B4F2EE34-D152-4137-B73C-9D71DD2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msonormal" w:customStyle="1">
    <w:name w:val="x_x_msonormal"/>
    <w:basedOn w:val="Normal"/>
    <w:rsid w:val="00715F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2C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C52"/>
  </w:style>
  <w:style w:type="paragraph" w:styleId="Footer">
    <w:name w:val="footer"/>
    <w:basedOn w:val="Normal"/>
    <w:link w:val="FooterChar"/>
    <w:uiPriority w:val="99"/>
    <w:unhideWhenUsed/>
    <w:rsid w:val="002E2C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C52"/>
  </w:style>
  <w:style w:type="paragraph" w:styleId="BalloonText">
    <w:name w:val="Balloon Text"/>
    <w:basedOn w:val="Normal"/>
    <w:link w:val="BalloonTextChar"/>
    <w:uiPriority w:val="99"/>
    <w:semiHidden/>
    <w:unhideWhenUsed/>
    <w:rsid w:val="0038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42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6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4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Friends of the Park</dc:creator>
  <keywords/>
  <dc:description/>
  <lastModifiedBy>Friends of the Park</lastModifiedBy>
  <revision>27</revision>
  <lastPrinted>2017-09-27T08:18:00.0000000Z</lastPrinted>
  <dcterms:created xsi:type="dcterms:W3CDTF">2022-10-23T17:57:05.1419928Z</dcterms:created>
  <dcterms:modified xsi:type="dcterms:W3CDTF">2022-11-11T18:00:44.3217915Z</dcterms:modified>
</coreProperties>
</file>